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91" w:rsidRPr="00394F91" w:rsidRDefault="00394F91" w:rsidP="00394F91">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394F91">
        <w:rPr>
          <w:rFonts w:ascii="Arial" w:eastAsia="Times New Roman" w:hAnsi="Arial" w:cs="Arial"/>
          <w:b/>
          <w:bCs/>
          <w:color w:val="000000"/>
          <w:kern w:val="36"/>
          <w:sz w:val="30"/>
          <w:szCs w:val="3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94F91" w:rsidRPr="00394F91" w:rsidRDefault="00394F91" w:rsidP="00394F91">
      <w:pPr>
        <w:shd w:val="clear" w:color="auto" w:fill="FDFDFD"/>
        <w:spacing w:after="0" w:line="240" w:lineRule="auto"/>
        <w:rPr>
          <w:rFonts w:ascii="PT Sans" w:eastAsia="Times New Roman" w:hAnsi="PT Sans" w:cs="Times New Roman"/>
          <w:color w:val="0E0E0E"/>
          <w:sz w:val="21"/>
          <w:szCs w:val="21"/>
          <w:lang w:eastAsia="ru-RU"/>
        </w:rPr>
      </w:pPr>
      <w:r w:rsidRPr="00394F91">
        <w:rPr>
          <w:rFonts w:ascii="PT Sans" w:eastAsia="Times New Roman" w:hAnsi="PT Sans" w:cs="Times New Roman"/>
          <w:color w:val="0E0E0E"/>
          <w:sz w:val="21"/>
          <w:szCs w:val="21"/>
          <w:lang w:eastAsia="ru-RU"/>
        </w:rPr>
        <w:t>Какие существуют льготы по оплате детского сада и как их оформить</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hyperlink r:id="rId4" w:history="1">
        <w:r w:rsidRPr="00394F91">
          <w:rPr>
            <w:rFonts w:ascii="Times New Roman" w:eastAsia="Times New Roman" w:hAnsi="Times New Roman" w:cs="Times New Roman"/>
            <w:color w:val="1A0DAB"/>
            <w:sz w:val="24"/>
            <w:szCs w:val="24"/>
            <w:u w:val="single"/>
            <w:lang w:eastAsia="ru-RU"/>
          </w:rPr>
          <w:t>размер</w:t>
        </w:r>
      </w:hyperlink>
      <w:r w:rsidRPr="00394F91">
        <w:rPr>
          <w:rFonts w:ascii="Times New Roman" w:eastAsia="Times New Roman" w:hAnsi="Times New Roman" w:cs="Times New Roman"/>
          <w:sz w:val="24"/>
          <w:szCs w:val="24"/>
          <w:lang w:eastAsia="ru-RU"/>
        </w:rPr>
        <w:t>,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5" w:history="1">
        <w:r w:rsidRPr="00394F91">
          <w:rPr>
            <w:rFonts w:ascii="Times New Roman" w:eastAsia="Times New Roman" w:hAnsi="Times New Roman" w:cs="Times New Roman"/>
            <w:color w:val="1A0DAB"/>
            <w:sz w:val="24"/>
            <w:szCs w:val="24"/>
            <w:u w:val="single"/>
            <w:lang w:eastAsia="ru-RU"/>
          </w:rPr>
          <w:t>порядке</w:t>
        </w:r>
      </w:hyperlink>
      <w:r w:rsidRPr="00394F91">
        <w:rPr>
          <w:rFonts w:ascii="Times New Roman" w:eastAsia="Times New Roman" w:hAnsi="Times New Roman" w:cs="Times New Roman"/>
          <w:sz w:val="24"/>
          <w:szCs w:val="24"/>
          <w:lang w:eastAsia="ru-RU"/>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(часть 2 в ред. Федерального </w:t>
      </w:r>
      <w:hyperlink r:id="rId6" w:anchor="dst100012" w:history="1">
        <w:r w:rsidRPr="00394F91">
          <w:rPr>
            <w:rFonts w:ascii="Times New Roman" w:eastAsia="Times New Roman" w:hAnsi="Times New Roman" w:cs="Times New Roman"/>
            <w:color w:val="1A0DAB"/>
            <w:sz w:val="28"/>
            <w:szCs w:val="28"/>
            <w:u w:val="single"/>
            <w:lang w:eastAsia="ru-RU"/>
          </w:rPr>
          <w:t>закона</w:t>
        </w:r>
      </w:hyperlink>
      <w:r w:rsidRPr="00394F91">
        <w:rPr>
          <w:rFonts w:ascii="Times New Roman" w:eastAsia="Times New Roman" w:hAnsi="Times New Roman" w:cs="Times New Roman"/>
          <w:color w:val="828282"/>
          <w:sz w:val="28"/>
          <w:szCs w:val="28"/>
          <w:lang w:eastAsia="ru-RU"/>
        </w:rPr>
        <w:t> от 29.06.2015 N 198-ФЗ)</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(см. текст в предыдущей </w:t>
      </w:r>
      <w:hyperlink r:id="rId7" w:history="1">
        <w:r w:rsidRPr="00394F91">
          <w:rPr>
            <w:rFonts w:ascii="Times New Roman" w:eastAsia="Times New Roman" w:hAnsi="Times New Roman" w:cs="Times New Roman"/>
            <w:color w:val="1A0DAB"/>
            <w:sz w:val="28"/>
            <w:szCs w:val="28"/>
            <w:u w:val="single"/>
            <w:lang w:eastAsia="ru-RU"/>
          </w:rPr>
          <w:t>редакции</w:t>
        </w:r>
      </w:hyperlink>
      <w:r w:rsidRPr="00394F91">
        <w:rPr>
          <w:rFonts w:ascii="Times New Roman" w:eastAsia="Times New Roman" w:hAnsi="Times New Roman" w:cs="Times New Roman"/>
          <w:color w:val="828282"/>
          <w:sz w:val="28"/>
          <w:szCs w:val="28"/>
          <w:lang w:eastAsia="ru-RU"/>
        </w:rPr>
        <w:t>)</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(в ред. Федерального </w:t>
      </w:r>
      <w:hyperlink r:id="rId8" w:anchor="dst100014" w:history="1">
        <w:r w:rsidRPr="00394F91">
          <w:rPr>
            <w:rFonts w:ascii="Times New Roman" w:eastAsia="Times New Roman" w:hAnsi="Times New Roman" w:cs="Times New Roman"/>
            <w:color w:val="1A0DAB"/>
            <w:sz w:val="28"/>
            <w:szCs w:val="28"/>
            <w:u w:val="single"/>
            <w:lang w:eastAsia="ru-RU"/>
          </w:rPr>
          <w:t>закона</w:t>
        </w:r>
      </w:hyperlink>
      <w:r w:rsidRPr="00394F91">
        <w:rPr>
          <w:rFonts w:ascii="Times New Roman" w:eastAsia="Times New Roman" w:hAnsi="Times New Roman" w:cs="Times New Roman"/>
          <w:color w:val="828282"/>
          <w:sz w:val="28"/>
          <w:szCs w:val="28"/>
          <w:lang w:eastAsia="ru-RU"/>
        </w:rPr>
        <w:t> от 29.06.2015 N 198-ФЗ)</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(см. текст в предыдущей </w:t>
      </w:r>
      <w:hyperlink r:id="rId9" w:history="1">
        <w:r w:rsidRPr="00394F91">
          <w:rPr>
            <w:rFonts w:ascii="Times New Roman" w:eastAsia="Times New Roman" w:hAnsi="Times New Roman" w:cs="Times New Roman"/>
            <w:color w:val="1A0DAB"/>
            <w:sz w:val="28"/>
            <w:szCs w:val="28"/>
            <w:u w:val="single"/>
            <w:lang w:eastAsia="ru-RU"/>
          </w:rPr>
          <w:t>редакции</w:t>
        </w:r>
      </w:hyperlink>
      <w:r w:rsidRPr="00394F91">
        <w:rPr>
          <w:rFonts w:ascii="Times New Roman" w:eastAsia="Times New Roman" w:hAnsi="Times New Roman" w:cs="Times New Roman"/>
          <w:color w:val="828282"/>
          <w:sz w:val="28"/>
          <w:szCs w:val="28"/>
          <w:lang w:eastAsia="ru-RU"/>
        </w:rPr>
        <w:t>)</w:t>
      </w:r>
    </w:p>
    <w:p w:rsidR="00394F91" w:rsidRPr="00394F91" w:rsidRDefault="00394F91" w:rsidP="00394F91">
      <w:pPr>
        <w:shd w:val="clear" w:color="auto" w:fill="FDFDFD"/>
        <w:spacing w:after="0" w:line="240" w:lineRule="auto"/>
        <w:rPr>
          <w:rFonts w:ascii="PT Sans" w:eastAsia="Times New Roman" w:hAnsi="PT Sans" w:cs="Times New Roman"/>
          <w:color w:val="0E0E0E"/>
          <w:sz w:val="21"/>
          <w:szCs w:val="21"/>
          <w:lang w:eastAsia="ru-RU"/>
        </w:rPr>
      </w:pPr>
      <w:r w:rsidRPr="00394F91">
        <w:rPr>
          <w:rFonts w:ascii="PT Sans" w:eastAsia="Times New Roman" w:hAnsi="PT Sans" w:cs="Times New Roman"/>
          <w:color w:val="0E0E0E"/>
          <w:sz w:val="21"/>
          <w:szCs w:val="21"/>
          <w:lang w:eastAsia="ru-RU"/>
        </w:rPr>
        <w:t>Как получить компенсацию части родительской платы за детский сад</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0" w:anchor="dst100004" w:history="1">
        <w:r w:rsidRPr="00394F91">
          <w:rPr>
            <w:rFonts w:ascii="Times New Roman" w:eastAsia="Times New Roman" w:hAnsi="Times New Roman" w:cs="Times New Roman"/>
            <w:color w:val="1A0DAB"/>
            <w:sz w:val="24"/>
            <w:szCs w:val="24"/>
            <w:u w:val="single"/>
            <w:lang w:eastAsia="ru-RU"/>
          </w:rPr>
          <w:t>(законным представителям)</w:t>
        </w:r>
      </w:hyperlink>
      <w:r w:rsidRPr="00394F91">
        <w:rPr>
          <w:rFonts w:ascii="Times New Roman" w:eastAsia="Times New Roman" w:hAnsi="Times New Roman" w:cs="Times New Roman"/>
          <w:sz w:val="24"/>
          <w:szCs w:val="24"/>
          <w:lang w:eastAsia="ru-RU"/>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w:t>
      </w:r>
      <w:r w:rsidRPr="00394F91">
        <w:rPr>
          <w:rFonts w:ascii="Times New Roman" w:eastAsia="Times New Roman" w:hAnsi="Times New Roman" w:cs="Times New Roman"/>
          <w:sz w:val="24"/>
          <w:szCs w:val="24"/>
          <w:lang w:eastAsia="ru-RU"/>
        </w:rPr>
        <w:lastRenderedPageBreak/>
        <w:t>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(часть 5 в ред. Федерального </w:t>
      </w:r>
      <w:hyperlink r:id="rId11" w:anchor="dst100128" w:history="1">
        <w:r w:rsidRPr="00394F91">
          <w:rPr>
            <w:rFonts w:ascii="Times New Roman" w:eastAsia="Times New Roman" w:hAnsi="Times New Roman" w:cs="Times New Roman"/>
            <w:color w:val="1A0DAB"/>
            <w:sz w:val="28"/>
            <w:szCs w:val="28"/>
            <w:u w:val="single"/>
            <w:lang w:eastAsia="ru-RU"/>
          </w:rPr>
          <w:t>закона</w:t>
        </w:r>
      </w:hyperlink>
      <w:r w:rsidRPr="00394F91">
        <w:rPr>
          <w:rFonts w:ascii="Times New Roman" w:eastAsia="Times New Roman" w:hAnsi="Times New Roman" w:cs="Times New Roman"/>
          <w:color w:val="828282"/>
          <w:sz w:val="28"/>
          <w:szCs w:val="28"/>
          <w:lang w:eastAsia="ru-RU"/>
        </w:rPr>
        <w:t> от 29.12.2015 N 388-ФЗ)</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(см. текст в предыдущей </w:t>
      </w:r>
      <w:hyperlink r:id="rId12" w:history="1">
        <w:r w:rsidRPr="00394F91">
          <w:rPr>
            <w:rFonts w:ascii="Times New Roman" w:eastAsia="Times New Roman" w:hAnsi="Times New Roman" w:cs="Times New Roman"/>
            <w:color w:val="1A0DAB"/>
            <w:sz w:val="28"/>
            <w:szCs w:val="28"/>
            <w:u w:val="single"/>
            <w:lang w:eastAsia="ru-RU"/>
          </w:rPr>
          <w:t>редакции</w:t>
        </w:r>
      </w:hyperlink>
      <w:r w:rsidRPr="00394F91">
        <w:rPr>
          <w:rFonts w:ascii="Times New Roman" w:eastAsia="Times New Roman" w:hAnsi="Times New Roman" w:cs="Times New Roman"/>
          <w:color w:val="828282"/>
          <w:sz w:val="28"/>
          <w:szCs w:val="28"/>
          <w:lang w:eastAsia="ru-RU"/>
        </w:rPr>
        <w:t>)</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6. Порядок обращения за получением компенсации, указанной в </w:t>
      </w:r>
      <w:hyperlink r:id="rId13" w:anchor="dst100882" w:history="1">
        <w:r w:rsidRPr="00394F91">
          <w:rPr>
            <w:rFonts w:ascii="Times New Roman" w:eastAsia="Times New Roman" w:hAnsi="Times New Roman" w:cs="Times New Roman"/>
            <w:color w:val="1A0DAB"/>
            <w:sz w:val="24"/>
            <w:szCs w:val="24"/>
            <w:u w:val="single"/>
            <w:lang w:eastAsia="ru-RU"/>
          </w:rPr>
          <w:t>части 5</w:t>
        </w:r>
      </w:hyperlink>
      <w:r w:rsidRPr="00394F91">
        <w:rPr>
          <w:rFonts w:ascii="Times New Roman" w:eastAsia="Times New Roman" w:hAnsi="Times New Roman" w:cs="Times New Roman"/>
          <w:sz w:val="24"/>
          <w:szCs w:val="24"/>
          <w:lang w:eastAsia="ru-RU"/>
        </w:rPr>
        <w:t> настоящей статьи, и порядок ее выплаты устанавливаются органами государственной власти субъектов Российской Федерации.</w:t>
      </w:r>
    </w:p>
    <w:p w:rsidR="00394F91" w:rsidRPr="00394F91" w:rsidRDefault="00394F91" w:rsidP="00394F91">
      <w:pPr>
        <w:shd w:val="clear" w:color="auto" w:fill="F4F3F8"/>
        <w:spacing w:after="0" w:line="330" w:lineRule="atLeast"/>
        <w:rPr>
          <w:rFonts w:ascii="Times New Roman" w:eastAsia="Times New Roman" w:hAnsi="Times New Roman" w:cs="Times New Roman"/>
          <w:color w:val="392C69"/>
          <w:sz w:val="28"/>
          <w:szCs w:val="28"/>
          <w:lang w:eastAsia="ru-RU"/>
        </w:rPr>
      </w:pPr>
      <w:proofErr w:type="spellStart"/>
      <w:r w:rsidRPr="00394F91">
        <w:rPr>
          <w:rFonts w:ascii="Times New Roman" w:eastAsia="Times New Roman" w:hAnsi="Times New Roman" w:cs="Times New Roman"/>
          <w:color w:val="392C69"/>
          <w:sz w:val="28"/>
          <w:szCs w:val="28"/>
          <w:lang w:eastAsia="ru-RU"/>
        </w:rPr>
        <w:t>КонсультантПлюс</w:t>
      </w:r>
      <w:proofErr w:type="spellEnd"/>
      <w:r w:rsidRPr="00394F91">
        <w:rPr>
          <w:rFonts w:ascii="Times New Roman" w:eastAsia="Times New Roman" w:hAnsi="Times New Roman" w:cs="Times New Roman"/>
          <w:color w:val="392C69"/>
          <w:sz w:val="28"/>
          <w:szCs w:val="28"/>
          <w:lang w:eastAsia="ru-RU"/>
        </w:rPr>
        <w:t>: примечание.</w:t>
      </w:r>
    </w:p>
    <w:p w:rsidR="00394F91" w:rsidRPr="00394F91" w:rsidRDefault="00394F91" w:rsidP="00394F91">
      <w:pPr>
        <w:shd w:val="clear" w:color="auto" w:fill="F4F3F8"/>
        <w:spacing w:after="0" w:line="330" w:lineRule="atLeast"/>
        <w:rPr>
          <w:rFonts w:ascii="Times New Roman" w:eastAsia="Times New Roman" w:hAnsi="Times New Roman" w:cs="Times New Roman"/>
          <w:color w:val="392C69"/>
          <w:sz w:val="28"/>
          <w:szCs w:val="28"/>
          <w:lang w:eastAsia="ru-RU"/>
        </w:rPr>
      </w:pPr>
      <w:r w:rsidRPr="00394F91">
        <w:rPr>
          <w:rFonts w:ascii="Times New Roman" w:eastAsia="Times New Roman" w:hAnsi="Times New Roman" w:cs="Times New Roman"/>
          <w:color w:val="392C69"/>
          <w:sz w:val="28"/>
          <w:szCs w:val="28"/>
          <w:lang w:eastAsia="ru-RU"/>
        </w:rPr>
        <w:t>Единый стандарт, утв. Правительством РФ в соответствии ч. 6.1 ст. 65, </w:t>
      </w:r>
      <w:hyperlink r:id="rId14" w:anchor="dst100016" w:history="1">
        <w:r w:rsidRPr="00394F91">
          <w:rPr>
            <w:rFonts w:ascii="Times New Roman" w:eastAsia="Times New Roman" w:hAnsi="Times New Roman" w:cs="Times New Roman"/>
            <w:color w:val="0000FF"/>
            <w:sz w:val="28"/>
            <w:szCs w:val="28"/>
            <w:u w:val="single"/>
            <w:lang w:eastAsia="ru-RU"/>
          </w:rPr>
          <w:t>применяется</w:t>
        </w:r>
      </w:hyperlink>
      <w:r w:rsidRPr="00394F91">
        <w:rPr>
          <w:rFonts w:ascii="Times New Roman" w:eastAsia="Times New Roman" w:hAnsi="Times New Roman" w:cs="Times New Roman"/>
          <w:color w:val="392C69"/>
          <w:sz w:val="28"/>
          <w:szCs w:val="28"/>
          <w:lang w:eastAsia="ru-RU"/>
        </w:rPr>
        <w:t> на территории г. Москвы с учетом </w:t>
      </w:r>
      <w:proofErr w:type="spellStart"/>
      <w:r w:rsidRPr="00394F91">
        <w:rPr>
          <w:rFonts w:ascii="Times New Roman" w:eastAsia="Times New Roman" w:hAnsi="Times New Roman" w:cs="Times New Roman"/>
          <w:color w:val="392C69"/>
          <w:sz w:val="28"/>
          <w:szCs w:val="28"/>
          <w:lang w:eastAsia="ru-RU"/>
        </w:rPr>
        <w:fldChar w:fldCharType="begin"/>
      </w:r>
      <w:r w:rsidRPr="00394F91">
        <w:rPr>
          <w:rFonts w:ascii="Times New Roman" w:eastAsia="Times New Roman" w:hAnsi="Times New Roman" w:cs="Times New Roman"/>
          <w:color w:val="392C69"/>
          <w:sz w:val="28"/>
          <w:szCs w:val="28"/>
          <w:lang w:eastAsia="ru-RU"/>
        </w:rPr>
        <w:instrText xml:space="preserve"> HYPERLINK "https://www.consultant.ru/document/cons_doc_LAW_461841/2d763c5616acd799323e98f042b132b5927f6f29/" \l "dst100223" </w:instrText>
      </w:r>
      <w:r w:rsidRPr="00394F91">
        <w:rPr>
          <w:rFonts w:ascii="Times New Roman" w:eastAsia="Times New Roman" w:hAnsi="Times New Roman" w:cs="Times New Roman"/>
          <w:color w:val="392C69"/>
          <w:sz w:val="28"/>
          <w:szCs w:val="28"/>
          <w:lang w:eastAsia="ru-RU"/>
        </w:rPr>
        <w:fldChar w:fldCharType="separate"/>
      </w:r>
      <w:r w:rsidRPr="00394F91">
        <w:rPr>
          <w:rFonts w:ascii="Times New Roman" w:eastAsia="Times New Roman" w:hAnsi="Times New Roman" w:cs="Times New Roman"/>
          <w:color w:val="0000FF"/>
          <w:sz w:val="28"/>
          <w:szCs w:val="28"/>
          <w:u w:val="single"/>
          <w:lang w:eastAsia="ru-RU"/>
        </w:rPr>
        <w:t>абз</w:t>
      </w:r>
      <w:proofErr w:type="spellEnd"/>
      <w:r w:rsidRPr="00394F91">
        <w:rPr>
          <w:rFonts w:ascii="Times New Roman" w:eastAsia="Times New Roman" w:hAnsi="Times New Roman" w:cs="Times New Roman"/>
          <w:color w:val="0000FF"/>
          <w:sz w:val="28"/>
          <w:szCs w:val="28"/>
          <w:u w:val="single"/>
          <w:lang w:eastAsia="ru-RU"/>
        </w:rPr>
        <w:t>. 22 ст. 4</w:t>
      </w:r>
      <w:r w:rsidRPr="00394F91">
        <w:rPr>
          <w:rFonts w:ascii="Times New Roman" w:eastAsia="Times New Roman" w:hAnsi="Times New Roman" w:cs="Times New Roman"/>
          <w:color w:val="392C69"/>
          <w:sz w:val="28"/>
          <w:szCs w:val="28"/>
          <w:lang w:eastAsia="ru-RU"/>
        </w:rPr>
        <w:fldChar w:fldCharType="end"/>
      </w:r>
      <w:r w:rsidRPr="00394F91">
        <w:rPr>
          <w:rFonts w:ascii="Times New Roman" w:eastAsia="Times New Roman" w:hAnsi="Times New Roman" w:cs="Times New Roman"/>
          <w:color w:val="392C69"/>
          <w:sz w:val="28"/>
          <w:szCs w:val="28"/>
          <w:lang w:eastAsia="ru-RU"/>
        </w:rPr>
        <w:t> Закона РФ от 15.04.1993 N 4802-1 (ФЗ от 29.12.2022 N 614-ФЗ).</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6.1. Правительство Российской Федерации в соответствии с Федеральным </w:t>
      </w:r>
      <w:hyperlink r:id="rId15" w:anchor="dst100368" w:history="1">
        <w:r w:rsidRPr="00394F91">
          <w:rPr>
            <w:rFonts w:ascii="Times New Roman" w:eastAsia="Times New Roman" w:hAnsi="Times New Roman" w:cs="Times New Roman"/>
            <w:color w:val="1A0DAB"/>
            <w:sz w:val="24"/>
            <w:szCs w:val="24"/>
            <w:u w:val="single"/>
            <w:lang w:eastAsia="ru-RU"/>
          </w:rPr>
          <w:t>законом</w:t>
        </w:r>
      </w:hyperlink>
      <w:r w:rsidRPr="00394F91">
        <w:rPr>
          <w:rFonts w:ascii="Times New Roman" w:eastAsia="Times New Roman" w:hAnsi="Times New Roman" w:cs="Times New Roman"/>
          <w:sz w:val="24"/>
          <w:szCs w:val="24"/>
          <w:lang w:eastAsia="ru-RU"/>
        </w:rPr>
        <w:t> от 27 июля 2010 года N 210-ФЗ "Об организации предоставления государственных и муниципальных услуг" утверждает единый </w:t>
      </w:r>
      <w:hyperlink r:id="rId16" w:anchor="dst100010" w:history="1">
        <w:r w:rsidRPr="00394F91">
          <w:rPr>
            <w:rFonts w:ascii="Times New Roman" w:eastAsia="Times New Roman" w:hAnsi="Times New Roman" w:cs="Times New Roman"/>
            <w:color w:val="1A0DAB"/>
            <w:sz w:val="24"/>
            <w:szCs w:val="24"/>
            <w:u w:val="single"/>
            <w:lang w:eastAsia="ru-RU"/>
          </w:rPr>
          <w:t>стандарт</w:t>
        </w:r>
      </w:hyperlink>
      <w:r w:rsidRPr="00394F91">
        <w:rPr>
          <w:rFonts w:ascii="Times New Roman" w:eastAsia="Times New Roman" w:hAnsi="Times New Roman" w:cs="Times New Roman"/>
          <w:sz w:val="24"/>
          <w:szCs w:val="24"/>
          <w:lang w:eastAsia="ru-RU"/>
        </w:rPr>
        <w:t> предоставления государственной и (или) муниципальной услуги, предусмотренной </w:t>
      </w:r>
      <w:hyperlink r:id="rId17" w:anchor="dst101640" w:history="1">
        <w:r w:rsidRPr="00394F91">
          <w:rPr>
            <w:rFonts w:ascii="Times New Roman" w:eastAsia="Times New Roman" w:hAnsi="Times New Roman" w:cs="Times New Roman"/>
            <w:color w:val="1A0DAB"/>
            <w:sz w:val="24"/>
            <w:szCs w:val="24"/>
            <w:u w:val="single"/>
            <w:lang w:eastAsia="ru-RU"/>
          </w:rPr>
          <w:t>частью 5</w:t>
        </w:r>
      </w:hyperlink>
      <w:r w:rsidRPr="00394F91">
        <w:rPr>
          <w:rFonts w:ascii="Times New Roman" w:eastAsia="Times New Roman" w:hAnsi="Times New Roman" w:cs="Times New Roman"/>
          <w:sz w:val="24"/>
          <w:szCs w:val="24"/>
          <w:lang w:eastAsia="ru-RU"/>
        </w:rPr>
        <w:t>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394F91" w:rsidRPr="00394F91" w:rsidRDefault="00394F91" w:rsidP="00394F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394F91">
        <w:rPr>
          <w:rFonts w:ascii="Times New Roman" w:eastAsia="Times New Roman" w:hAnsi="Times New Roman" w:cs="Times New Roman"/>
          <w:color w:val="828282"/>
          <w:sz w:val="28"/>
          <w:szCs w:val="28"/>
          <w:lang w:eastAsia="ru-RU"/>
        </w:rPr>
        <w:t>(часть 6.1 введена Федеральным </w:t>
      </w:r>
      <w:hyperlink r:id="rId18" w:anchor="dst100012" w:history="1">
        <w:r w:rsidRPr="00394F91">
          <w:rPr>
            <w:rFonts w:ascii="Times New Roman" w:eastAsia="Times New Roman" w:hAnsi="Times New Roman" w:cs="Times New Roman"/>
            <w:color w:val="1A0DAB"/>
            <w:sz w:val="28"/>
            <w:szCs w:val="28"/>
            <w:u w:val="single"/>
            <w:lang w:eastAsia="ru-RU"/>
          </w:rPr>
          <w:t>законом</w:t>
        </w:r>
      </w:hyperlink>
      <w:r w:rsidRPr="00394F91">
        <w:rPr>
          <w:rFonts w:ascii="Times New Roman" w:eastAsia="Times New Roman" w:hAnsi="Times New Roman" w:cs="Times New Roman"/>
          <w:color w:val="828282"/>
          <w:sz w:val="28"/>
          <w:szCs w:val="28"/>
          <w:lang w:eastAsia="ru-RU"/>
        </w:rPr>
        <w:t> от 29.12.2022 N 614-ФЗ)</w:t>
      </w:r>
    </w:p>
    <w:p w:rsidR="00394F91" w:rsidRPr="00394F91" w:rsidRDefault="00394F91" w:rsidP="00394F91">
      <w:pPr>
        <w:spacing w:after="0" w:line="240" w:lineRule="auto"/>
        <w:rPr>
          <w:rFonts w:ascii="Times New Roman" w:eastAsia="Times New Roman" w:hAnsi="Times New Roman" w:cs="Times New Roman"/>
          <w:sz w:val="24"/>
          <w:szCs w:val="24"/>
          <w:lang w:eastAsia="ru-RU"/>
        </w:rPr>
      </w:pPr>
      <w:r w:rsidRPr="00394F91">
        <w:rPr>
          <w:rFonts w:ascii="Times New Roman" w:eastAsia="Times New Roman" w:hAnsi="Times New Roman" w:cs="Times New Roman"/>
          <w:sz w:val="24"/>
          <w:szCs w:val="24"/>
          <w:lang w:eastAsia="ru-RU"/>
        </w:rPr>
        <w:t>7. Финансовое обеспечение расходов, связанных с выплатой компе</w:t>
      </w:r>
    </w:p>
    <w:p w:rsidR="00500B46" w:rsidRDefault="00500B46">
      <w:bookmarkStart w:id="0" w:name="_GoBack"/>
      <w:bookmarkEnd w:id="0"/>
    </w:p>
    <w:sectPr w:rsidR="00500B46" w:rsidSect="008E052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4D"/>
    <w:rsid w:val="00394F91"/>
    <w:rsid w:val="00500B46"/>
    <w:rsid w:val="006A384D"/>
    <w:rsid w:val="008E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9AB7-6B42-4057-8945-4F8FEA71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23183">
      <w:bodyDiv w:val="1"/>
      <w:marLeft w:val="0"/>
      <w:marRight w:val="0"/>
      <w:marTop w:val="0"/>
      <w:marBottom w:val="0"/>
      <w:divBdr>
        <w:top w:val="none" w:sz="0" w:space="0" w:color="auto"/>
        <w:left w:val="none" w:sz="0" w:space="0" w:color="auto"/>
        <w:bottom w:val="none" w:sz="0" w:space="0" w:color="auto"/>
        <w:right w:val="none" w:sz="0" w:space="0" w:color="auto"/>
      </w:divBdr>
      <w:divsChild>
        <w:div w:id="1242712541">
          <w:marLeft w:val="0"/>
          <w:marRight w:val="0"/>
          <w:marTop w:val="0"/>
          <w:marBottom w:val="0"/>
          <w:divBdr>
            <w:top w:val="none" w:sz="0" w:space="0" w:color="auto"/>
            <w:left w:val="none" w:sz="0" w:space="0" w:color="auto"/>
            <w:bottom w:val="none" w:sz="0" w:space="0" w:color="auto"/>
            <w:right w:val="none" w:sz="0" w:space="0" w:color="auto"/>
          </w:divBdr>
        </w:div>
        <w:div w:id="640496351">
          <w:marLeft w:val="0"/>
          <w:marRight w:val="0"/>
          <w:marTop w:val="0"/>
          <w:marBottom w:val="0"/>
          <w:divBdr>
            <w:top w:val="none" w:sz="0" w:space="0" w:color="auto"/>
            <w:left w:val="none" w:sz="0" w:space="0" w:color="auto"/>
            <w:bottom w:val="none" w:sz="0" w:space="0" w:color="auto"/>
            <w:right w:val="none" w:sz="0" w:space="0" w:color="auto"/>
          </w:divBdr>
          <w:divsChild>
            <w:div w:id="1062872244">
              <w:marLeft w:val="0"/>
              <w:marRight w:val="0"/>
              <w:marTop w:val="0"/>
              <w:marBottom w:val="0"/>
              <w:divBdr>
                <w:top w:val="single" w:sz="6" w:space="0" w:color="9F9FDA"/>
                <w:left w:val="single" w:sz="6" w:space="0" w:color="9F9FDA"/>
                <w:bottom w:val="single" w:sz="6" w:space="0" w:color="9F9FDA"/>
                <w:right w:val="single" w:sz="6" w:space="0" w:color="9F9FDA"/>
              </w:divBdr>
              <w:divsChild>
                <w:div w:id="185607302">
                  <w:marLeft w:val="0"/>
                  <w:marRight w:val="0"/>
                  <w:marTop w:val="0"/>
                  <w:marBottom w:val="0"/>
                  <w:divBdr>
                    <w:top w:val="none" w:sz="0" w:space="0" w:color="auto"/>
                    <w:left w:val="none" w:sz="0" w:space="0" w:color="auto"/>
                    <w:bottom w:val="none" w:sz="0" w:space="0" w:color="auto"/>
                    <w:right w:val="none" w:sz="0" w:space="0" w:color="auto"/>
                  </w:divBdr>
                  <w:divsChild>
                    <w:div w:id="10990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1581">
          <w:marLeft w:val="0"/>
          <w:marRight w:val="0"/>
          <w:marTop w:val="0"/>
          <w:marBottom w:val="0"/>
          <w:divBdr>
            <w:top w:val="none" w:sz="0" w:space="0" w:color="auto"/>
            <w:left w:val="none" w:sz="0" w:space="0" w:color="auto"/>
            <w:bottom w:val="none" w:sz="0" w:space="0" w:color="auto"/>
            <w:right w:val="none" w:sz="0" w:space="0" w:color="auto"/>
          </w:divBdr>
        </w:div>
        <w:div w:id="817452682">
          <w:marLeft w:val="0"/>
          <w:marRight w:val="0"/>
          <w:marTop w:val="0"/>
          <w:marBottom w:val="0"/>
          <w:divBdr>
            <w:top w:val="none" w:sz="0" w:space="0" w:color="auto"/>
            <w:left w:val="none" w:sz="0" w:space="0" w:color="auto"/>
            <w:bottom w:val="none" w:sz="0" w:space="0" w:color="auto"/>
            <w:right w:val="none" w:sz="0" w:space="0" w:color="auto"/>
          </w:divBdr>
        </w:div>
        <w:div w:id="549457020">
          <w:marLeft w:val="0"/>
          <w:marRight w:val="0"/>
          <w:marTop w:val="0"/>
          <w:marBottom w:val="0"/>
          <w:divBdr>
            <w:top w:val="none" w:sz="0" w:space="0" w:color="auto"/>
            <w:left w:val="none" w:sz="0" w:space="0" w:color="auto"/>
            <w:bottom w:val="none" w:sz="0" w:space="0" w:color="auto"/>
            <w:right w:val="none" w:sz="0" w:space="0" w:color="auto"/>
          </w:divBdr>
        </w:div>
        <w:div w:id="2075540533">
          <w:marLeft w:val="0"/>
          <w:marRight w:val="0"/>
          <w:marTop w:val="0"/>
          <w:marBottom w:val="0"/>
          <w:divBdr>
            <w:top w:val="none" w:sz="0" w:space="0" w:color="auto"/>
            <w:left w:val="none" w:sz="0" w:space="0" w:color="auto"/>
            <w:bottom w:val="none" w:sz="0" w:space="0" w:color="auto"/>
            <w:right w:val="none" w:sz="0" w:space="0" w:color="auto"/>
          </w:divBdr>
        </w:div>
        <w:div w:id="2055693838">
          <w:marLeft w:val="0"/>
          <w:marRight w:val="0"/>
          <w:marTop w:val="0"/>
          <w:marBottom w:val="0"/>
          <w:divBdr>
            <w:top w:val="none" w:sz="0" w:space="0" w:color="auto"/>
            <w:left w:val="none" w:sz="0" w:space="0" w:color="auto"/>
            <w:bottom w:val="none" w:sz="0" w:space="0" w:color="auto"/>
            <w:right w:val="none" w:sz="0" w:space="0" w:color="auto"/>
          </w:divBdr>
          <w:divsChild>
            <w:div w:id="595134885">
              <w:marLeft w:val="0"/>
              <w:marRight w:val="0"/>
              <w:marTop w:val="0"/>
              <w:marBottom w:val="0"/>
              <w:divBdr>
                <w:top w:val="single" w:sz="6" w:space="0" w:color="9F9FDA"/>
                <w:left w:val="single" w:sz="6" w:space="0" w:color="9F9FDA"/>
                <w:bottom w:val="single" w:sz="6" w:space="0" w:color="9F9FDA"/>
                <w:right w:val="single" w:sz="6" w:space="0" w:color="9F9FDA"/>
              </w:divBdr>
              <w:divsChild>
                <w:div w:id="2066563064">
                  <w:marLeft w:val="0"/>
                  <w:marRight w:val="0"/>
                  <w:marTop w:val="0"/>
                  <w:marBottom w:val="0"/>
                  <w:divBdr>
                    <w:top w:val="none" w:sz="0" w:space="0" w:color="auto"/>
                    <w:left w:val="none" w:sz="0" w:space="0" w:color="auto"/>
                    <w:bottom w:val="none" w:sz="0" w:space="0" w:color="auto"/>
                    <w:right w:val="none" w:sz="0" w:space="0" w:color="auto"/>
                  </w:divBdr>
                  <w:divsChild>
                    <w:div w:id="15180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2552">
          <w:marLeft w:val="0"/>
          <w:marRight w:val="0"/>
          <w:marTop w:val="0"/>
          <w:marBottom w:val="0"/>
          <w:divBdr>
            <w:top w:val="none" w:sz="0" w:space="0" w:color="auto"/>
            <w:left w:val="none" w:sz="0" w:space="0" w:color="auto"/>
            <w:bottom w:val="none" w:sz="0" w:space="0" w:color="auto"/>
            <w:right w:val="none" w:sz="0" w:space="0" w:color="auto"/>
          </w:divBdr>
        </w:div>
        <w:div w:id="1769081222">
          <w:marLeft w:val="0"/>
          <w:marRight w:val="0"/>
          <w:marTop w:val="0"/>
          <w:marBottom w:val="0"/>
          <w:divBdr>
            <w:top w:val="none" w:sz="0" w:space="0" w:color="auto"/>
            <w:left w:val="none" w:sz="0" w:space="0" w:color="auto"/>
            <w:bottom w:val="none" w:sz="0" w:space="0" w:color="auto"/>
            <w:right w:val="none" w:sz="0" w:space="0" w:color="auto"/>
          </w:divBdr>
        </w:div>
        <w:div w:id="1363626075">
          <w:marLeft w:val="0"/>
          <w:marRight w:val="0"/>
          <w:marTop w:val="360"/>
          <w:marBottom w:val="0"/>
          <w:divBdr>
            <w:top w:val="none" w:sz="0" w:space="0" w:color="auto"/>
            <w:left w:val="none" w:sz="0" w:space="0" w:color="auto"/>
            <w:bottom w:val="none" w:sz="0" w:space="0" w:color="auto"/>
            <w:right w:val="none" w:sz="0" w:space="0" w:color="auto"/>
          </w:divBdr>
        </w:div>
        <w:div w:id="201136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81825/" TargetMode="External"/><Relationship Id="rId13" Type="http://schemas.openxmlformats.org/officeDocument/2006/relationships/hyperlink" Target="https://www.consultant.ru/document/cons_doc_LAW_437409/392984768a7c21d850e5bb126851a801b5876e72/" TargetMode="External"/><Relationship Id="rId18" Type="http://schemas.openxmlformats.org/officeDocument/2006/relationships/hyperlink" Target="https://www.consultant.ru/document/cons_doc_LAW_436170/b004fed0b70d0f223e4a81f8ad6cd92af90a7e3b/" TargetMode="External"/><Relationship Id="rId3" Type="http://schemas.openxmlformats.org/officeDocument/2006/relationships/webSettings" Target="webSettings.xml"/><Relationship Id="rId7" Type="http://schemas.openxmlformats.org/officeDocument/2006/relationships/hyperlink" Target="https://www.consultant.ru/document/cons_doc_LAW_140174/392984768a7c21d850e5bb126851a801b5876e72/" TargetMode="External"/><Relationship Id="rId12" Type="http://schemas.openxmlformats.org/officeDocument/2006/relationships/hyperlink" Target="https://www.consultant.ru/document/cons_doc_LAW_140174/392984768a7c21d850e5bb126851a801b5876e72/" TargetMode="External"/><Relationship Id="rId17" Type="http://schemas.openxmlformats.org/officeDocument/2006/relationships/hyperlink" Target="https://www.consultant.ru/document/cons_doc_LAW_437409/392984768a7c21d850e5bb126851a801b5876e72/" TargetMode="External"/><Relationship Id="rId2" Type="http://schemas.openxmlformats.org/officeDocument/2006/relationships/settings" Target="settings.xml"/><Relationship Id="rId16" Type="http://schemas.openxmlformats.org/officeDocument/2006/relationships/hyperlink" Target="https://www.consultant.ru/document/cons_doc_LAW_448232/2e26d17f76bbd4ccb5178c567eb993418d57d4b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document/cons_doc_LAW_181825/" TargetMode="External"/><Relationship Id="rId11" Type="http://schemas.openxmlformats.org/officeDocument/2006/relationships/hyperlink" Target="https://www.consultant.ru/document/cons_doc_LAW_431941/6a73a7e61adc45fc3dd224c0e7194a1392c8b071/" TargetMode="External"/><Relationship Id="rId5" Type="http://schemas.openxmlformats.org/officeDocument/2006/relationships/hyperlink" Target="https://www.consultant.ru/document/cons_doc_LAW_140174/392984768a7c21d850e5bb126851a801b5876e72/" TargetMode="External"/><Relationship Id="rId15" Type="http://schemas.openxmlformats.org/officeDocument/2006/relationships/hyperlink" Target="https://www.consultant.ru/document/cons_doc_LAW_453313/b819c620a8c698de35861ad4c9d9696ee0c3ee7a/" TargetMode="External"/><Relationship Id="rId10" Type="http://schemas.openxmlformats.org/officeDocument/2006/relationships/hyperlink" Target="https://www.consultant.ru/document/cons_doc_LAW_99661/dc0b9959ca27fba1add9a97f0ae4a81af29efc9d/" TargetMode="External"/><Relationship Id="rId19" Type="http://schemas.openxmlformats.org/officeDocument/2006/relationships/fontTable" Target="fontTable.xml"/><Relationship Id="rId4" Type="http://schemas.openxmlformats.org/officeDocument/2006/relationships/hyperlink" Target="https://www.consultant.ru/document/cons_doc_LAW_140174/392984768a7c21d850e5bb126851a801b5876e72/" TargetMode="External"/><Relationship Id="rId9" Type="http://schemas.openxmlformats.org/officeDocument/2006/relationships/hyperlink" Target="https://www.consultant.ru/document/cons_doc_LAW_140174/392984768a7c21d850e5bb126851a801b5876e72/" TargetMode="External"/><Relationship Id="rId14" Type="http://schemas.openxmlformats.org/officeDocument/2006/relationships/hyperlink" Target="https://www.consultant.ru/document/cons_doc_LAW_436170/30b3f8c55f65557c253227a65b908cc075ce11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2023-11-29T06:56:00Z</dcterms:created>
  <dcterms:modified xsi:type="dcterms:W3CDTF">2023-11-29T06:56:00Z</dcterms:modified>
</cp:coreProperties>
</file>